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Custom"/>
        <w:jc w:val="center"/>
      </w:pPr>
      <w:r>
        <w:t>ДЕФЕКТНЫЙ АКТ</w:t>
      </w:r>
    </w:p>
    <w:p>
      <w:pPr>
        <w:jc w:val="center"/>
      </w:pPr>
      <w:r>
        <w:rPr>
          <w:rFonts w:ascii="Times New Roman" w:hAnsi="Times New Roman" w:eastAsia="Times New Roman"/>
          <w:b/>
          <w:sz w:val="22"/>
        </w:rPr>
        <w:t>по результатам осмотра выполненных ремонтных работ</w:t>
      </w:r>
    </w:p>
    <w:p/>
    <w:p>
      <w:pPr>
        <w:spacing w:after="120"/>
      </w:pPr>
      <w:r>
        <w:t>г. Санкт-Петербург    «14» марта 2026 г.    Время осмотра: с 11:00 до 12:40</w:t>
      </w:r>
    </w:p>
    <w:p>
      <w:pPr>
        <w:spacing w:after="60"/>
      </w:pPr>
      <w:r>
        <w:rPr>
          <w:b/>
        </w:rPr>
        <w:t xml:space="preserve">Заказчик: </w:t>
      </w:r>
      <w:r>
        <w:t>Иванов Сергей Андреевич</w:t>
      </w:r>
    </w:p>
    <w:p>
      <w:pPr>
        <w:spacing w:after="60"/>
      </w:pPr>
      <w:r>
        <w:rPr>
          <w:b/>
        </w:rPr>
        <w:t xml:space="preserve">Подрядчик / представитель Подрядчика: </w:t>
      </w:r>
      <w:r>
        <w:t>ООО «РемСтройПроект», мастер Петров Алексей Викторович</w:t>
      </w:r>
    </w:p>
    <w:p>
      <w:pPr>
        <w:spacing w:after="60"/>
      </w:pPr>
      <w:r>
        <w:rPr>
          <w:b/>
        </w:rPr>
        <w:t xml:space="preserve">Объект: </w:t>
      </w:r>
      <w:r>
        <w:t>квартира по адресу: г. Санкт-Петербург, ул. Дибуновская, д. 18, кв. 47</w:t>
      </w:r>
    </w:p>
    <w:p>
      <w:pPr>
        <w:spacing w:after="60"/>
      </w:pPr>
      <w:r>
        <w:rPr>
          <w:b/>
        </w:rPr>
        <w:t xml:space="preserve">Основание осмотра: </w:t>
      </w:r>
      <w:r>
        <w:t>договор подряда № 12/24-Р от «20» января 2026 г.</w:t>
      </w:r>
    </w:p>
    <w:p>
      <w:pPr>
        <w:spacing w:before="120" w:after="40"/>
      </w:pPr>
      <w:r>
        <w:rPr>
          <w:b/>
        </w:rPr>
        <w:t>Сведения о проведении осмотра:</w:t>
      </w:r>
    </w:p>
    <w:p>
      <w:pPr>
        <w:spacing w:after="60"/>
      </w:pPr>
      <w:r>
        <w:rPr>
          <w:b/>
        </w:rPr>
        <w:t xml:space="preserve">Подрядчик о времени и месте осмотра уведомлен заранее: </w:t>
      </w:r>
      <w:r>
        <w:t>да</w:t>
      </w:r>
    </w:p>
    <w:p>
      <w:pPr>
        <w:spacing w:after="60"/>
      </w:pPr>
      <w:r>
        <w:rPr>
          <w:b/>
        </w:rPr>
        <w:t xml:space="preserve">Способ уведомления: </w:t>
      </w:r>
      <w:r>
        <w:t>электронное письмо от 11.03.2026, сообщение в мессенджере от 11.03.2026</w:t>
      </w:r>
    </w:p>
    <w:p>
      <w:pPr>
        <w:spacing w:after="60"/>
      </w:pPr>
      <w:r>
        <w:rPr>
          <w:b/>
        </w:rPr>
        <w:t xml:space="preserve">Подрядчик / представитель Подрядчика на осмотр: </w:t>
      </w:r>
      <w:r>
        <w:t>явился</w:t>
      </w:r>
    </w:p>
    <w:p>
      <w:pPr>
        <w:spacing w:after="60"/>
      </w:pPr>
      <w:r>
        <w:rPr>
          <w:b/>
        </w:rPr>
        <w:t xml:space="preserve">Замечания и пояснения представителя Подрядчика: </w:t>
      </w:r>
      <w:r>
        <w:t>часть недостатков признана, по части замечаний указано, что они подлежат дополнительной проверке.</w:t>
      </w:r>
    </w:p>
    <w:p>
      <w:pPr>
        <w:spacing w:before="120" w:after="80"/>
      </w:pPr>
      <w:r>
        <w:rPr>
          <w:b/>
        </w:rPr>
        <w:t>По результатам осмотра выполненных ремонтных работ выявлены следующие недостатки: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42"/>
        <w:gridCol w:w="1442"/>
        <w:gridCol w:w="1442"/>
        <w:gridCol w:w="1442"/>
        <w:gridCol w:w="1442"/>
        <w:gridCol w:w="1442"/>
        <w:gridCol w:w="1442"/>
      </w:tblGrid>
      <w:tr>
        <w:trPr>
          <w:tblHeader w:val="true"/>
        </w:trPr>
        <w:tc>
          <w:tcPr>
            <w:tcW w:type="dxa" w:w="397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№</w:t>
            </w:r>
          </w:p>
        </w:tc>
        <w:tc>
          <w:tcPr>
            <w:tcW w:type="dxa" w:w="1247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Помещение / участок</w:t>
            </w:r>
          </w:p>
        </w:tc>
        <w:tc>
          <w:tcPr>
            <w:tcW w:type="dxa" w:w="136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Вид работ / элемент</w:t>
            </w:r>
          </w:p>
        </w:tc>
        <w:tc>
          <w:tcPr>
            <w:tcW w:type="dxa" w:w="2608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Описание недостатка</w:t>
            </w:r>
          </w:p>
        </w:tc>
        <w:tc>
          <w:tcPr>
            <w:tcW w:type="dxa" w:w="1474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Чем подтверждается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Что требуется устранить</w:t>
            </w:r>
          </w:p>
        </w:tc>
        <w:tc>
          <w:tcPr>
            <w:tcW w:type="dxa" w:w="907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EAEAEA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19"/>
              </w:rPr>
              <w:t>Срок</w:t>
            </w:r>
          </w:p>
        </w:tc>
      </w:tr>
      <w:tr>
        <w:trPr>
          <w:trHeight w:hRule="atLeast" w:val="567"/>
        </w:trPr>
        <w:tc>
          <w:tcPr>
            <w:tcW w:type="dxa" w:w="39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1</w:t>
            </w:r>
          </w:p>
        </w:tc>
        <w:tc>
          <w:tcPr>
            <w:tcW w:type="dxa" w:w="124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Жилая комната, стена справа от оконного проема</w:t>
            </w:r>
          </w:p>
        </w:tc>
        <w:tc>
          <w:tcPr>
            <w:tcW w:type="dxa" w:w="136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Штукатурные и шпаклевочные работы</w:t>
            </w:r>
          </w:p>
        </w:tc>
        <w:tc>
          <w:tcPr>
            <w:tcW w:type="dxa" w:w="2608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Выявлена неровность отделочной поверхности. При проверке двухметровым правилом определяется зазор до 6 мм на вертикальном участке стены.</w:t>
            </w:r>
          </w:p>
        </w:tc>
        <w:tc>
          <w:tcPr>
            <w:tcW w:type="dxa" w:w="1474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Визуальный осмотр, проверка правилом, фото № 1-2</w:t>
            </w:r>
          </w:p>
        </w:tc>
        <w:tc>
          <w:tcPr>
            <w:tcW w:type="dxa" w:w="170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Выполнить выравнивание поверхности стены с последующей подготовкой под окраску</w:t>
            </w:r>
          </w:p>
        </w:tc>
        <w:tc>
          <w:tcPr>
            <w:tcW w:type="dxa" w:w="90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28.03.2026</w:t>
            </w:r>
          </w:p>
        </w:tc>
      </w:tr>
      <w:tr>
        <w:trPr>
          <w:trHeight w:hRule="atLeast" w:val="567"/>
        </w:trPr>
        <w:tc>
          <w:tcPr>
            <w:tcW w:type="dxa" w:w="39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</w:t>
            </w:r>
          </w:p>
        </w:tc>
        <w:tc>
          <w:tcPr>
            <w:tcW w:type="dxa" w:w="124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Жилая комната, участок пола у выхода на лоджию</w:t>
            </w:r>
          </w:p>
        </w:tc>
        <w:tc>
          <w:tcPr>
            <w:tcW w:type="dxa" w:w="136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Устройство напольного покрытия</w:t>
            </w:r>
          </w:p>
        </w:tc>
        <w:tc>
          <w:tcPr>
            <w:tcW w:type="dxa" w:w="2608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При передвижении по покрытию ощущается локальная подвижность ламинированного пола, наблюдается скрип на участке ориентировочной площадью 1,2 кв. м.</w:t>
            </w:r>
          </w:p>
        </w:tc>
        <w:tc>
          <w:tcPr>
            <w:tcW w:type="dxa" w:w="1474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Осмотр, проверка при проходе, видео № 1, фото № 3</w:t>
            </w:r>
          </w:p>
        </w:tc>
        <w:tc>
          <w:tcPr>
            <w:tcW w:type="dxa" w:w="170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Установить причину подвижности покрытия, устранить дефект основания и восстановить участок пола</w:t>
            </w:r>
          </w:p>
        </w:tc>
        <w:tc>
          <w:tcPr>
            <w:tcW w:type="dxa" w:w="90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28.03.2026</w:t>
            </w:r>
          </w:p>
        </w:tc>
      </w:tr>
      <w:tr>
        <w:trPr>
          <w:trHeight w:hRule="atLeast" w:val="567"/>
        </w:trPr>
        <w:tc>
          <w:tcPr>
            <w:tcW w:type="dxa" w:w="39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3</w:t>
            </w:r>
          </w:p>
        </w:tc>
        <w:tc>
          <w:tcPr>
            <w:tcW w:type="dxa" w:w="124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Кухня, фартук в зоне мойки</w:t>
            </w:r>
          </w:p>
        </w:tc>
        <w:tc>
          <w:tcPr>
            <w:tcW w:type="dxa" w:w="136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Облицовка плиткой</w:t>
            </w:r>
          </w:p>
        </w:tc>
        <w:tc>
          <w:tcPr>
            <w:tcW w:type="dxa" w:w="2608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Выявлены перепады между смежными плитками до 2 мм, неравномерная ширина межплиточных швов, локальные неровности облицовки.</w:t>
            </w:r>
          </w:p>
        </w:tc>
        <w:tc>
          <w:tcPr>
            <w:tcW w:type="dxa" w:w="1474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Визуальный осмотр, проверка правилом, фото № 4-5</w:t>
            </w:r>
          </w:p>
        </w:tc>
        <w:tc>
          <w:tcPr>
            <w:tcW w:type="dxa" w:w="170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Выполнить корректировку облицовки либо заменить плитки на участке с нарушениями</w:t>
            </w:r>
          </w:p>
        </w:tc>
        <w:tc>
          <w:tcPr>
            <w:tcW w:type="dxa" w:w="90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28.03.2026</w:t>
            </w:r>
          </w:p>
        </w:tc>
      </w:tr>
      <w:tr>
        <w:trPr>
          <w:trHeight w:hRule="atLeast" w:val="567"/>
        </w:trPr>
        <w:tc>
          <w:tcPr>
            <w:tcW w:type="dxa" w:w="39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4</w:t>
            </w:r>
          </w:p>
        </w:tc>
        <w:tc>
          <w:tcPr>
            <w:tcW w:type="dxa" w:w="124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Санузел, зона примыкания ванны к стене</w:t>
            </w:r>
          </w:p>
        </w:tc>
        <w:tc>
          <w:tcPr>
            <w:tcW w:type="dxa" w:w="136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Герметизация примыканий</w:t>
            </w:r>
          </w:p>
        </w:tc>
        <w:tc>
          <w:tcPr>
            <w:tcW w:type="dxa" w:w="2608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Выявлены разрывы и неплотности герметизирующего шва, имеются участки неполного заполнения примыкания.</w:t>
            </w:r>
          </w:p>
        </w:tc>
        <w:tc>
          <w:tcPr>
            <w:tcW w:type="dxa" w:w="1474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Визуальный осмотр, фото № 6-7</w:t>
            </w:r>
          </w:p>
        </w:tc>
        <w:tc>
          <w:tcPr>
            <w:tcW w:type="dxa" w:w="170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Удалить дефектный герметик и выполнить герметизацию примыкания заново</w:t>
            </w:r>
          </w:p>
        </w:tc>
        <w:tc>
          <w:tcPr>
            <w:tcW w:type="dxa" w:w="90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21.03.2026</w:t>
            </w:r>
          </w:p>
        </w:tc>
      </w:tr>
      <w:tr>
        <w:trPr>
          <w:trHeight w:hRule="atLeast" w:val="567"/>
        </w:trPr>
        <w:tc>
          <w:tcPr>
            <w:tcW w:type="dxa" w:w="39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5</w:t>
            </w:r>
          </w:p>
        </w:tc>
        <w:tc>
          <w:tcPr>
            <w:tcW w:type="dxa" w:w="124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Санузел, дверной блок</w:t>
            </w:r>
          </w:p>
        </w:tc>
        <w:tc>
          <w:tcPr>
            <w:tcW w:type="dxa" w:w="136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Установка межкомнатной двери</w:t>
            </w:r>
          </w:p>
        </w:tc>
        <w:tc>
          <w:tcPr>
            <w:tcW w:type="dxa" w:w="2608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Дверной блок установлен с перекосом; зазоры между полотном и коробкой неравномерны, при закрывании требуется дополнительное усилие.</w:t>
            </w:r>
          </w:p>
        </w:tc>
        <w:tc>
          <w:tcPr>
            <w:tcW w:type="dxa" w:w="1474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Визуальный осмотр, проверка уровня, фото № 8-9</w:t>
            </w:r>
          </w:p>
        </w:tc>
        <w:tc>
          <w:tcPr>
            <w:tcW w:type="dxa" w:w="170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Выполнить регулировку или переустановку дверного блока с обеспечением равномерных зазоров</w:t>
            </w:r>
          </w:p>
        </w:tc>
        <w:tc>
          <w:tcPr>
            <w:tcW w:type="dxa" w:w="90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28.03.2026</w:t>
            </w:r>
          </w:p>
        </w:tc>
      </w:tr>
      <w:tr>
        <w:trPr>
          <w:trHeight w:hRule="atLeast" w:val="567"/>
        </w:trPr>
        <w:tc>
          <w:tcPr>
            <w:tcW w:type="dxa" w:w="39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6</w:t>
            </w:r>
          </w:p>
        </w:tc>
        <w:tc>
          <w:tcPr>
            <w:tcW w:type="dxa" w:w="124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Кухня, под мойкой</w:t>
            </w:r>
          </w:p>
        </w:tc>
        <w:tc>
          <w:tcPr>
            <w:tcW w:type="dxa" w:w="136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Сантехнические работы</w:t>
            </w:r>
          </w:p>
        </w:tc>
        <w:tc>
          <w:tcPr>
            <w:tcW w:type="dxa" w:w="2608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 зоне соединения сифона с выпуском выявлены следы протечки и следы увлажнения на нижней поверхности тумбы.</w:t>
            </w:r>
          </w:p>
        </w:tc>
        <w:tc>
          <w:tcPr>
            <w:tcW w:type="dxa" w:w="1474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Визуальный осмотр, фото № 10-11</w:t>
            </w:r>
          </w:p>
        </w:tc>
        <w:tc>
          <w:tcPr>
            <w:tcW w:type="dxa" w:w="170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Устранить протечку соединения, проверить герметичность узла после устранения</w:t>
            </w:r>
          </w:p>
        </w:tc>
        <w:tc>
          <w:tcPr>
            <w:tcW w:type="dxa" w:w="90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21.03.2026</w:t>
            </w:r>
          </w:p>
        </w:tc>
      </w:tr>
      <w:tr>
        <w:trPr>
          <w:trHeight w:hRule="atLeast" w:val="567"/>
        </w:trPr>
        <w:tc>
          <w:tcPr>
            <w:tcW w:type="dxa" w:w="39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7</w:t>
            </w:r>
          </w:p>
        </w:tc>
        <w:tc>
          <w:tcPr>
            <w:tcW w:type="dxa" w:w="124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Коридор, потолок у входной двери</w:t>
            </w:r>
          </w:p>
        </w:tc>
        <w:tc>
          <w:tcPr>
            <w:tcW w:type="dxa" w:w="136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Малярные работы</w:t>
            </w:r>
          </w:p>
        </w:tc>
        <w:tc>
          <w:tcPr>
            <w:tcW w:type="dxa" w:w="2608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Выявлены локальные непрокрасы и следы неравномерного нанесения краски, различимые при обычном освещении.</w:t>
            </w:r>
          </w:p>
        </w:tc>
        <w:tc>
          <w:tcPr>
            <w:tcW w:type="dxa" w:w="1474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Визуальный осмотр, фото № 12</w:t>
            </w:r>
          </w:p>
        </w:tc>
        <w:tc>
          <w:tcPr>
            <w:tcW w:type="dxa" w:w="1701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19"/>
              </w:rPr>
              <w:t>Выполнить подготовку участка и повторную окраску потолка</w:t>
            </w:r>
          </w:p>
        </w:tc>
        <w:tc>
          <w:tcPr>
            <w:tcW w:type="dxa" w:w="907"/>
            <w:tcMar>
              <w:top w:w="90" w:type="dxa"/>
              <w:start w:w="80" w:type="dxa"/>
              <w:bottom w:w="90" w:type="dxa"/>
              <w:end w:w="8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19"/>
              </w:rPr>
              <w:t>21.03.2026</w:t>
            </w:r>
          </w:p>
        </w:tc>
      </w:tr>
    </w:tbl>
    <w:p>
      <w:pPr>
        <w:spacing w:before="120" w:after="40"/>
      </w:pPr>
      <w:r>
        <w:rPr>
          <w:b/>
        </w:rPr>
        <w:t>Дополнительные пояснения:</w:t>
      </w:r>
    </w:p>
    <w:p>
      <w:r>
        <w:t>1. Осмотр проводился без вскрытия конструкций и без демонтажа отделочных слоев.</w:t>
      </w:r>
    </w:p>
    <w:p>
      <w:r>
        <w:t>2. Выводы настоящего акта относятся к видимым недостаткам и тем признакам, которые установлены в ходе визуального осмотра и простых проверочных действий.</w:t>
      </w:r>
    </w:p>
    <w:p>
      <w:r>
        <w:t>3. По участку пола в жилой комнате для окончательного вывода о состоянии основания может потребоваться дополнительная проверка после частичного вскрытия покрытия.</w:t>
      </w:r>
    </w:p>
    <w:p>
      <w:pPr>
        <w:spacing w:before="120" w:after="40"/>
      </w:pPr>
      <w:r>
        <w:rPr>
          <w:b/>
        </w:rPr>
        <w:t>Фото- и видеофиксация:</w:t>
      </w:r>
    </w:p>
    <w:p>
      <w:r>
        <w:t>Фото / видео приложены: да</w:t>
      </w:r>
    </w:p>
    <w:p>
      <w:r>
        <w:t>Фото № 1-2 относятся к п. 1; фото № 3 относится к п. 2; фото № 4-5 относятся к п. 3.</w:t>
      </w:r>
    </w:p>
    <w:p>
      <w:r>
        <w:t>Фото № 6-7 относятся к п. 4; фото № 8-9 относятся к п. 5; фото № 10-11 относятся к п. 6; фото № 12 относится к п. 7.</w:t>
      </w:r>
    </w:p>
    <w:p>
      <w:r>
        <w:t>Видео № 1 относится к п. 2.</w:t>
      </w:r>
    </w:p>
    <w:p>
      <w:pPr>
        <w:spacing w:before="120" w:after="40"/>
      </w:pPr>
      <w:r>
        <w:rPr>
          <w:b/>
        </w:rPr>
        <w:t>Приложения:</w:t>
      </w:r>
    </w:p>
    <w:p>
      <w:r>
        <w:t>1. Фотофиксация на 6 л.</w:t>
      </w:r>
    </w:p>
    <w:p>
      <w:r>
        <w:t>2. Ведомость замеров на 2 л.</w:t>
      </w:r>
    </w:p>
    <w:p>
      <w:r>
        <w:t>3. Копия уведомления Подрядчика о проведении осмотра на 1 л.</w:t>
      </w:r>
    </w:p>
    <w:p>
      <w:r>
        <w:t>4. Копия договора подряда № 12/24-Р от 20.01.2026 на 4 л.</w:t>
      </w:r>
    </w:p>
    <w:p>
      <w:pPr>
        <w:spacing w:before="120" w:after="40"/>
      </w:pPr>
      <w:r>
        <w:rPr>
          <w:b/>
        </w:rPr>
        <w:t>Позиция Подрядчика по выявленным недостаткам:</w:t>
      </w:r>
    </w:p>
    <w:p>
      <w:r>
        <w:t>частично согласен</w:t>
      </w:r>
    </w:p>
    <w:p>
      <w:pPr>
        <w:spacing w:before="120" w:after="40"/>
      </w:pPr>
      <w:r>
        <w:rPr>
          <w:b/>
        </w:rPr>
        <w:t>Срок для устранения недостатков:</w:t>
      </w:r>
    </w:p>
    <w:p>
      <w:r>
        <w:t>до «28» марта 2026 г.</w:t>
      </w:r>
    </w:p>
    <w:p/>
    <w:p>
      <w:r>
        <w:t>Настоящий дефектный акт составлен для фиксации выявленных недостатков выполненных ремонтных работ и может использоваться как приложение к претензии, акту осмотра, акту приёмки, заключению специалиста и иным документам по спору.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6"/>
        <w:gridCol w:w="5046"/>
      </w:tblGrid>
      <w:tr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Заказчик:</w:t>
            </w:r>
          </w:p>
        </w:tc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Подрядчик / представитель Подрядчика:</w:t>
            </w:r>
          </w:p>
        </w:tc>
      </w:tr>
      <w:tr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___________________ /Иванов С.А./</w:t>
            </w:r>
          </w:p>
        </w:tc>
        <w:tc>
          <w:tcPr>
            <w:tcW w:type="dxa" w:w="4706"/>
            <w:tcMar>
              <w:top w:w="60" w:type="dxa"/>
              <w:start w:w="60" w:type="dxa"/>
              <w:bottom w:w="60" w:type="dxa"/>
              <w:end w:w="60" w:type="dxa"/>
            </w:tcMar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___________________ /Петров А.В./</w:t>
            </w:r>
          </w:p>
        </w:tc>
      </w:tr>
    </w:tbl>
    <w:sectPr w:rsidR="00FC693F" w:rsidRPr="0006063C" w:rsidSect="00034616">
      <w:pgSz w:w="11906" w:h="16838"/>
      <w:pgMar w:top="1020" w:right="907" w:bottom="10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76" w:lineRule="auto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 Custom"/>
    <w:rPr>
      <w:rFonts w:ascii="Times New Roman" w:hAnsi="Times New Roman" w:eastAsia="Times New Roman"/>
      <w:b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